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402" w:rsidRPr="006B6382" w:rsidRDefault="00860402" w:rsidP="00860402">
      <w:pPr>
        <w:jc w:val="center"/>
        <w:rPr>
          <w:rFonts w:ascii="Times New Roman" w:hAnsi="Times New Roman" w:cs="Times New Roman"/>
          <w:b/>
        </w:rPr>
      </w:pPr>
      <w:r w:rsidRPr="006B6382">
        <w:rPr>
          <w:rFonts w:ascii="Times New Roman" w:hAnsi="Times New Roman" w:cs="Times New Roman"/>
          <w:b/>
        </w:rPr>
        <w:t>KLAUZULA INFORMACYJNA DLA OSÓB KORZYSTAJĄCYCH ZE SZKOLEŃ/ SPOTKAŃ/WARSZTATÓW – DO LIST OBECNOŚCI</w:t>
      </w:r>
    </w:p>
    <w:p w:rsidR="003574CF" w:rsidRPr="006B6382" w:rsidRDefault="00860402" w:rsidP="00860402">
      <w:pPr>
        <w:jc w:val="center"/>
        <w:rPr>
          <w:rFonts w:ascii="Times New Roman" w:hAnsi="Times New Roman" w:cs="Times New Roman"/>
        </w:rPr>
      </w:pPr>
      <w:r w:rsidRPr="006B6382">
        <w:rPr>
          <w:rFonts w:ascii="Times New Roman" w:hAnsi="Times New Roman" w:cs="Times New Roman"/>
        </w:rPr>
        <w:t xml:space="preserve">DOTYCZĄCA PRZETWARZANIA DANYCH OSOBOWYCH OSOBY FIZYCZNEJ WYSTĘPUJĄCEJ W DZIAŁANIACH W RAMACH INTERWENCJI I.13.1- </w:t>
      </w:r>
      <w:r w:rsidR="006B6382">
        <w:rPr>
          <w:rFonts w:ascii="Times New Roman" w:hAnsi="Times New Roman" w:cs="Times New Roman"/>
        </w:rPr>
        <w:br/>
      </w:r>
      <w:r w:rsidRPr="006B6382">
        <w:rPr>
          <w:rFonts w:ascii="Times New Roman" w:hAnsi="Times New Roman" w:cs="Times New Roman"/>
        </w:rPr>
        <w:t>UCZESTNIK SZKOLEŃ/SPOTKAŃ/WARSZTATÓW</w:t>
      </w:r>
    </w:p>
    <w:p w:rsidR="00860402" w:rsidRPr="006B6382" w:rsidRDefault="00860402" w:rsidP="00860402">
      <w:pPr>
        <w:jc w:val="center"/>
        <w:rPr>
          <w:rFonts w:ascii="Times New Roman" w:hAnsi="Times New Roman" w:cs="Times New Roman"/>
        </w:rPr>
      </w:pPr>
    </w:p>
    <w:tbl>
      <w:tblPr>
        <w:tblStyle w:val="Tabela-Siatka"/>
        <w:tblW w:w="0" w:type="auto"/>
        <w:tblLook w:val="04A0" w:firstRow="1" w:lastRow="0" w:firstColumn="1" w:lastColumn="0" w:noHBand="0" w:noVBand="1"/>
      </w:tblPr>
      <w:tblGrid>
        <w:gridCol w:w="2689"/>
        <w:gridCol w:w="6373"/>
      </w:tblGrid>
      <w:tr w:rsidR="00860402" w:rsidRPr="006B6382" w:rsidTr="00860402">
        <w:tc>
          <w:tcPr>
            <w:tcW w:w="2689" w:type="dxa"/>
            <w:shd w:val="clear" w:color="auto" w:fill="D9E2F3" w:themeFill="accent5" w:themeFillTint="33"/>
            <w:vAlign w:val="center"/>
          </w:tcPr>
          <w:p w:rsidR="00860402" w:rsidRPr="006B6382" w:rsidRDefault="00860402" w:rsidP="00860402">
            <w:pPr>
              <w:jc w:val="center"/>
              <w:rPr>
                <w:rFonts w:ascii="Times New Roman" w:hAnsi="Times New Roman" w:cs="Times New Roman"/>
                <w:b/>
              </w:rPr>
            </w:pPr>
            <w:r w:rsidRPr="006B6382">
              <w:rPr>
                <w:rFonts w:ascii="Times New Roman" w:hAnsi="Times New Roman" w:cs="Times New Roman"/>
                <w:b/>
              </w:rPr>
              <w:t>Nazwa zadania</w:t>
            </w:r>
          </w:p>
        </w:tc>
        <w:tc>
          <w:tcPr>
            <w:tcW w:w="6373" w:type="dxa"/>
          </w:tcPr>
          <w:p w:rsidR="00860402" w:rsidRPr="006B6382" w:rsidRDefault="00860402" w:rsidP="00860402">
            <w:pPr>
              <w:jc w:val="center"/>
              <w:rPr>
                <w:rFonts w:ascii="Times New Roman" w:hAnsi="Times New Roman" w:cs="Times New Roman"/>
              </w:rPr>
            </w:pPr>
          </w:p>
          <w:p w:rsidR="00860402" w:rsidRPr="006B6382" w:rsidRDefault="00860402" w:rsidP="00860402">
            <w:pPr>
              <w:jc w:val="center"/>
              <w:rPr>
                <w:rFonts w:ascii="Times New Roman" w:hAnsi="Times New Roman" w:cs="Times New Roman"/>
              </w:rPr>
            </w:pPr>
          </w:p>
        </w:tc>
      </w:tr>
      <w:tr w:rsidR="00860402" w:rsidRPr="006B6382" w:rsidTr="00860402">
        <w:tc>
          <w:tcPr>
            <w:tcW w:w="2689" w:type="dxa"/>
            <w:shd w:val="clear" w:color="auto" w:fill="D9E2F3" w:themeFill="accent5" w:themeFillTint="33"/>
            <w:vAlign w:val="center"/>
          </w:tcPr>
          <w:p w:rsidR="00860402" w:rsidRPr="006B6382" w:rsidRDefault="00860402" w:rsidP="00860402">
            <w:pPr>
              <w:jc w:val="center"/>
              <w:rPr>
                <w:rFonts w:ascii="Times New Roman" w:hAnsi="Times New Roman" w:cs="Times New Roman"/>
                <w:b/>
              </w:rPr>
            </w:pPr>
            <w:r w:rsidRPr="006B6382">
              <w:rPr>
                <w:rFonts w:ascii="Times New Roman" w:hAnsi="Times New Roman" w:cs="Times New Roman"/>
                <w:b/>
              </w:rPr>
              <w:t>Data i miejsce realizacji</w:t>
            </w:r>
          </w:p>
        </w:tc>
        <w:tc>
          <w:tcPr>
            <w:tcW w:w="6373" w:type="dxa"/>
          </w:tcPr>
          <w:p w:rsidR="00860402" w:rsidRPr="006B6382" w:rsidRDefault="00860402" w:rsidP="00860402">
            <w:pPr>
              <w:jc w:val="center"/>
              <w:rPr>
                <w:rFonts w:ascii="Times New Roman" w:hAnsi="Times New Roman" w:cs="Times New Roman"/>
              </w:rPr>
            </w:pPr>
          </w:p>
          <w:p w:rsidR="00860402" w:rsidRPr="006B6382" w:rsidRDefault="00860402" w:rsidP="00860402">
            <w:pPr>
              <w:jc w:val="center"/>
              <w:rPr>
                <w:rFonts w:ascii="Times New Roman" w:hAnsi="Times New Roman" w:cs="Times New Roman"/>
              </w:rPr>
            </w:pPr>
          </w:p>
        </w:tc>
      </w:tr>
    </w:tbl>
    <w:p w:rsidR="00860402" w:rsidRPr="006B6382" w:rsidRDefault="00860402" w:rsidP="00860402">
      <w:pPr>
        <w:rPr>
          <w:rFonts w:ascii="Times New Roman" w:hAnsi="Times New Roman" w:cs="Times New Roman"/>
        </w:rPr>
      </w:pPr>
    </w:p>
    <w:p w:rsidR="00860402" w:rsidRPr="006B6382" w:rsidRDefault="00860402" w:rsidP="00860402">
      <w:pPr>
        <w:rPr>
          <w:rFonts w:ascii="Times New Roman" w:hAnsi="Times New Roman" w:cs="Times New Roman"/>
        </w:rPr>
      </w:pPr>
    </w:p>
    <w:p w:rsidR="00860402" w:rsidRPr="006B6382" w:rsidRDefault="00860402" w:rsidP="00860402">
      <w:pPr>
        <w:pStyle w:val="Akapitzlist"/>
        <w:numPr>
          <w:ilvl w:val="0"/>
          <w:numId w:val="4"/>
        </w:numPr>
        <w:rPr>
          <w:rFonts w:ascii="Times New Roman" w:hAnsi="Times New Roman" w:cs="Times New Roman"/>
        </w:rPr>
      </w:pPr>
      <w:r w:rsidRPr="006B6382">
        <w:rPr>
          <w:rFonts w:ascii="Times New Roman" w:hAnsi="Times New Roman" w:cs="Times New Roman"/>
        </w:rPr>
        <w:t>Przyjmuję do wiadomości, że:</w:t>
      </w:r>
    </w:p>
    <w:p w:rsidR="00860402" w:rsidRPr="006B6382" w:rsidRDefault="00860402" w:rsidP="00860402">
      <w:pPr>
        <w:ind w:left="360"/>
        <w:rPr>
          <w:rFonts w:ascii="Times New Roman" w:hAnsi="Times New Roman" w:cs="Times New Roman"/>
        </w:rPr>
      </w:pPr>
      <w:r w:rsidRPr="006B6382">
        <w:rPr>
          <w:rFonts w:ascii="Times New Roman" w:hAnsi="Times New Roman" w:cs="Times New Roman"/>
        </w:rPr>
        <w:t xml:space="preserve"> 1. Administratorem moich danych osobowych jest Loka</w:t>
      </w:r>
      <w:r w:rsidR="00DA6D09">
        <w:rPr>
          <w:rFonts w:ascii="Times New Roman" w:hAnsi="Times New Roman" w:cs="Times New Roman"/>
        </w:rPr>
        <w:t>lna Grupa Działania „Perła Jury”</w:t>
      </w:r>
      <w:bookmarkStart w:id="0" w:name="_GoBack"/>
      <w:bookmarkEnd w:id="0"/>
      <w:r w:rsidRPr="006B6382">
        <w:rPr>
          <w:rFonts w:ascii="Times New Roman" w:hAnsi="Times New Roman" w:cs="Times New Roman"/>
        </w:rPr>
        <w:t>, z siedzibą w Siamoszycach, ul. Edukacyjna 15, 42-425 Kroczyce, telefon.:326710061;</w:t>
      </w:r>
    </w:p>
    <w:p w:rsidR="00860402" w:rsidRPr="006B6382" w:rsidRDefault="00860402" w:rsidP="00860402">
      <w:pPr>
        <w:ind w:left="360"/>
        <w:rPr>
          <w:rFonts w:ascii="Times New Roman" w:hAnsi="Times New Roman" w:cs="Times New Roman"/>
        </w:rPr>
      </w:pPr>
      <w:r w:rsidRPr="006B6382">
        <w:rPr>
          <w:rFonts w:ascii="Times New Roman" w:hAnsi="Times New Roman" w:cs="Times New Roman"/>
        </w:rPr>
        <w:t xml:space="preserve">2. Z administratorem danych osobowych w sprawie przetwarzania danych mogę kontaktować się poprzez adres e-mail: admin@perlajury.pl lub pisemnie na adres korespondencyjny </w:t>
      </w:r>
      <w:proofErr w:type="spellStart"/>
      <w:r w:rsidRPr="006B6382">
        <w:rPr>
          <w:rFonts w:ascii="Times New Roman" w:hAnsi="Times New Roman" w:cs="Times New Roman"/>
        </w:rPr>
        <w:t>j.w</w:t>
      </w:r>
      <w:proofErr w:type="spellEnd"/>
      <w:r w:rsidRPr="006B6382">
        <w:rPr>
          <w:rFonts w:ascii="Times New Roman" w:hAnsi="Times New Roman" w:cs="Times New Roman"/>
        </w:rPr>
        <w:t xml:space="preserve">.; </w:t>
      </w:r>
    </w:p>
    <w:p w:rsidR="00860402" w:rsidRPr="006B6382" w:rsidRDefault="00DA6D09" w:rsidP="00860402">
      <w:pPr>
        <w:ind w:left="360"/>
        <w:rPr>
          <w:rFonts w:ascii="Times New Roman" w:hAnsi="Times New Roman" w:cs="Times New Roman"/>
        </w:rPr>
      </w:pPr>
      <w:r>
        <w:rPr>
          <w:rFonts w:ascii="Times New Roman" w:hAnsi="Times New Roman" w:cs="Times New Roman"/>
        </w:rPr>
        <w:t>3. W</w:t>
      </w:r>
      <w:r w:rsidR="00860402" w:rsidRPr="006B6382">
        <w:rPr>
          <w:rFonts w:ascii="Times New Roman" w:hAnsi="Times New Roman" w:cs="Times New Roman"/>
        </w:rPr>
        <w:t xml:space="preserve"> sprawach z zakresu ochrony danych osobowych mogę kontaktować się z Inspektorem Ochrony Danych pod adresem e-mail: </w:t>
      </w:r>
      <w:hyperlink r:id="rId5" w:history="1">
        <w:r w:rsidR="00860402" w:rsidRPr="006B6382">
          <w:rPr>
            <w:rStyle w:val="Hipercze"/>
            <w:rFonts w:ascii="Times New Roman" w:hAnsi="Times New Roman" w:cs="Times New Roman"/>
          </w:rPr>
          <w:t>admin@perlajury.pl</w:t>
        </w:r>
      </w:hyperlink>
      <w:r w:rsidR="00860402" w:rsidRPr="006B6382">
        <w:rPr>
          <w:rFonts w:ascii="Times New Roman" w:hAnsi="Times New Roman" w:cs="Times New Roman"/>
        </w:rPr>
        <w:t>.</w:t>
      </w:r>
    </w:p>
    <w:p w:rsidR="00860402" w:rsidRPr="006B6382" w:rsidRDefault="00860402" w:rsidP="00860402">
      <w:pPr>
        <w:ind w:left="360"/>
        <w:rPr>
          <w:rFonts w:ascii="Times New Roman" w:hAnsi="Times New Roman" w:cs="Times New Roman"/>
        </w:rPr>
      </w:pPr>
      <w:r w:rsidRPr="006B6382">
        <w:rPr>
          <w:rFonts w:ascii="Times New Roman" w:hAnsi="Times New Roman" w:cs="Times New Roman"/>
        </w:rPr>
        <w:t xml:space="preserve"> 4. Administrator danych wyznaczył inspektora ochrony danych, z którym można kontaktować się w sprawach dotyczących przetwarzania danych osobowych oraz korzystania z praw związanych z przetwarzaniem danych, poprzez adres e-mail: admin@perlajury.pl lub pisemnie na adres korespondencyjny administratora danych;</w:t>
      </w:r>
    </w:p>
    <w:p w:rsidR="00860402" w:rsidRPr="006B6382" w:rsidRDefault="00860402" w:rsidP="00860402">
      <w:pPr>
        <w:ind w:left="360"/>
        <w:rPr>
          <w:rFonts w:ascii="Times New Roman" w:hAnsi="Times New Roman" w:cs="Times New Roman"/>
        </w:rPr>
      </w:pPr>
      <w:r w:rsidRPr="006B6382">
        <w:rPr>
          <w:rFonts w:ascii="Times New Roman" w:hAnsi="Times New Roman" w:cs="Times New Roman"/>
        </w:rPr>
        <w:t xml:space="preserve"> 5. Zebrane dane osobowe będą przetwarzane przez administratora danych na podstawie art. 6 ust. 1 lit. c) rozporządzenia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 </w:t>
      </w:r>
    </w:p>
    <w:p w:rsidR="00860402" w:rsidRPr="006B6382" w:rsidRDefault="00860402" w:rsidP="00860402">
      <w:pPr>
        <w:ind w:left="360"/>
        <w:rPr>
          <w:rFonts w:ascii="Times New Roman" w:hAnsi="Times New Roman" w:cs="Times New Roman"/>
        </w:rPr>
      </w:pPr>
      <w:r w:rsidRPr="006B6382">
        <w:rPr>
          <w:rFonts w:ascii="Times New Roman" w:hAnsi="Times New Roman" w:cs="Times New Roman"/>
        </w:rPr>
        <w:t xml:space="preserve">6. Zebrane dane osobowe na podstawach, o których mowa w pkt. I.4 będą przetwarzane przez administratora danych w celu realizacji zadań wynikających z Umowy o warunkach i sposobie realizacji strategii rozwoju lokalnego kierowanego przez społeczność nr </w:t>
      </w:r>
      <w:r w:rsidR="006B6382" w:rsidRPr="006B6382">
        <w:rPr>
          <w:rFonts w:ascii="Times New Roman" w:hAnsi="Times New Roman" w:cs="Times New Roman"/>
        </w:rPr>
        <w:t>00001.UM12.6572.20004.2003</w:t>
      </w:r>
      <w:r w:rsidRPr="006B6382">
        <w:rPr>
          <w:rFonts w:ascii="Times New Roman" w:hAnsi="Times New Roman" w:cs="Times New Roman"/>
        </w:rPr>
        <w:t xml:space="preserve"> z dnia </w:t>
      </w:r>
      <w:r w:rsidR="006B6382" w:rsidRPr="006B6382">
        <w:rPr>
          <w:rFonts w:ascii="Times New Roman" w:hAnsi="Times New Roman" w:cs="Times New Roman"/>
        </w:rPr>
        <w:t>11.01.2024</w:t>
      </w:r>
      <w:r w:rsidRPr="006B6382">
        <w:rPr>
          <w:rFonts w:ascii="Times New Roman" w:hAnsi="Times New Roman" w:cs="Times New Roman"/>
        </w:rPr>
        <w:t xml:space="preserve">r, art. 34 ust. 3 lit. f)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6B6382">
        <w:rPr>
          <w:rFonts w:ascii="Times New Roman" w:hAnsi="Times New Roman" w:cs="Times New Roman"/>
        </w:rPr>
        <w:t>późn</w:t>
      </w:r>
      <w:proofErr w:type="spellEnd"/>
      <w:r w:rsidRPr="006B6382">
        <w:rPr>
          <w:rFonts w:ascii="Times New Roman" w:hAnsi="Times New Roman" w:cs="Times New Roman"/>
        </w:rPr>
        <w:t>. zm.), ustawy z dnia 20 lutego 2015 r. o rozwoju lokalnym z udziałem lokalnej społec</w:t>
      </w:r>
      <w:r w:rsidR="006B6382" w:rsidRPr="006B6382">
        <w:rPr>
          <w:rFonts w:ascii="Times New Roman" w:hAnsi="Times New Roman" w:cs="Times New Roman"/>
        </w:rPr>
        <w:t>zności (Dz.U. z 2018, poz. 140).</w:t>
      </w:r>
    </w:p>
    <w:p w:rsidR="006B6382" w:rsidRDefault="006B6382" w:rsidP="00860402">
      <w:pPr>
        <w:ind w:left="360"/>
      </w:pPr>
    </w:p>
    <w:p w:rsidR="006B6382" w:rsidRPr="006B6382" w:rsidRDefault="006B6382" w:rsidP="006B6382">
      <w:pPr>
        <w:rPr>
          <w:rFonts w:ascii="Times New Roman" w:hAnsi="Times New Roman" w:cs="Times New Roman"/>
        </w:rPr>
      </w:pPr>
      <w:r w:rsidRPr="006B6382">
        <w:rPr>
          <w:rFonts w:ascii="Times New Roman" w:hAnsi="Times New Roman" w:cs="Times New Roman"/>
        </w:rPr>
        <w:lastRenderedPageBreak/>
        <w:t xml:space="preserve">II. Przyjmuję do wiadomości, że: </w:t>
      </w:r>
    </w:p>
    <w:p w:rsidR="006B6382" w:rsidRPr="006B6382" w:rsidRDefault="006B6382" w:rsidP="006B6382">
      <w:pPr>
        <w:rPr>
          <w:rFonts w:ascii="Times New Roman" w:hAnsi="Times New Roman" w:cs="Times New Roman"/>
        </w:rPr>
      </w:pPr>
      <w:r w:rsidRPr="006B6382">
        <w:rPr>
          <w:rFonts w:ascii="Times New Roman" w:hAnsi="Times New Roman" w:cs="Times New Roman"/>
        </w:rPr>
        <w:t xml:space="preserve">1. Zebrane dane osobowe mogą być udostępniane podmiotom publicznym uprawnionym do przetwarzania danych osobowych na podstawie przepisów powszechnie obowiązującego prawa oraz podmiotom przetwarzającym dane osobowe na zlecenie administratora w związku z wykonywaniem powierzonego im zadania w drodze zawartej umowy, np. dostawcom wparcia informatycznego; </w:t>
      </w:r>
    </w:p>
    <w:p w:rsidR="006B6382" w:rsidRPr="006B6382" w:rsidRDefault="006B6382" w:rsidP="006B6382">
      <w:pPr>
        <w:rPr>
          <w:rFonts w:ascii="Times New Roman" w:hAnsi="Times New Roman" w:cs="Times New Roman"/>
        </w:rPr>
      </w:pPr>
      <w:r w:rsidRPr="006B6382">
        <w:rPr>
          <w:rFonts w:ascii="Times New Roman" w:hAnsi="Times New Roman" w:cs="Times New Roman"/>
        </w:rPr>
        <w:t xml:space="preserve">2. Zebrane dane osobowe na podstawie art. 6 ust. 1 lit. c) rozporządzenia 2016/679, będą przetwarzane przez okres realizacji zadań wynikających z zapisów w dokumentach nadrzędnych.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 </w:t>
      </w:r>
    </w:p>
    <w:p w:rsidR="006B6382" w:rsidRPr="006B6382" w:rsidRDefault="006B6382" w:rsidP="006B6382">
      <w:pPr>
        <w:rPr>
          <w:rFonts w:ascii="Times New Roman" w:hAnsi="Times New Roman" w:cs="Times New Roman"/>
        </w:rPr>
      </w:pPr>
      <w:r w:rsidRPr="006B6382">
        <w:rPr>
          <w:rFonts w:ascii="Times New Roman" w:hAnsi="Times New Roman" w:cs="Times New Roman"/>
        </w:rPr>
        <w:t xml:space="preserve">3. Przysługuje mi prawo dostępu do moich danych, prawo żądania ich sprostowania, usunięcia lub ograniczenia ich przetwarzania w przypadkach określonych w rozporządzeniu 2016/679; </w:t>
      </w:r>
    </w:p>
    <w:p w:rsidR="006B6382" w:rsidRPr="006B6382" w:rsidRDefault="006B6382" w:rsidP="006B6382">
      <w:pPr>
        <w:rPr>
          <w:rFonts w:ascii="Times New Roman" w:hAnsi="Times New Roman" w:cs="Times New Roman"/>
        </w:rPr>
      </w:pPr>
      <w:r w:rsidRPr="006B6382">
        <w:rPr>
          <w:rFonts w:ascii="Times New Roman" w:hAnsi="Times New Roman" w:cs="Times New Roman"/>
        </w:rPr>
        <w:t xml:space="preserve">4. W przypadku uznania, że przetwarzanie danych osobowych narusza przepisy rozporządzenia 2016/679, przysługuje mi prawo wniesienia skargi do Prezesa Urzędu Ochrony Danych Osobowych; </w:t>
      </w:r>
    </w:p>
    <w:p w:rsidR="00860402" w:rsidRPr="006B6382" w:rsidRDefault="006B6382" w:rsidP="006B6382">
      <w:pPr>
        <w:rPr>
          <w:rFonts w:ascii="Times New Roman" w:hAnsi="Times New Roman" w:cs="Times New Roman"/>
        </w:rPr>
      </w:pPr>
      <w:r w:rsidRPr="006B6382">
        <w:rPr>
          <w:rFonts w:ascii="Times New Roman" w:hAnsi="Times New Roman" w:cs="Times New Roman"/>
        </w:rPr>
        <w:t>5. Podanie danych osobowych na podstawie art. 6 ust. 1 lit. c) rozporządzenia 2016/679 w Liście obecności na szkoleniu / warsztatach / spotkaniu wynika z obowiązku zawartego w przepisach powszechnie obowiązujących, dla potrzeb niezbędnych do prawidłowej realizacji operacji w ramach LSR.</w:t>
      </w:r>
    </w:p>
    <w:p w:rsidR="006B6382" w:rsidRDefault="006B6382" w:rsidP="006B6382"/>
    <w:p w:rsidR="006B6382" w:rsidRDefault="006B6382" w:rsidP="006B6382"/>
    <w:p w:rsidR="006B6382" w:rsidRDefault="006B6382" w:rsidP="006B6382"/>
    <w:p w:rsidR="006B6382" w:rsidRDefault="006B6382" w:rsidP="006B6382"/>
    <w:p w:rsidR="006B6382" w:rsidRDefault="006B6382" w:rsidP="006B6382"/>
    <w:p w:rsidR="006B6382" w:rsidRDefault="006B6382" w:rsidP="006B6382"/>
    <w:p w:rsidR="006B6382" w:rsidRDefault="006B6382" w:rsidP="006B6382"/>
    <w:p w:rsidR="006B6382" w:rsidRDefault="006B6382" w:rsidP="006B6382"/>
    <w:p w:rsidR="006B6382" w:rsidRDefault="006B6382" w:rsidP="006B6382"/>
    <w:p w:rsidR="006B6382" w:rsidRDefault="006B6382" w:rsidP="006B6382"/>
    <w:p w:rsidR="006B6382" w:rsidRDefault="006B6382" w:rsidP="006B6382"/>
    <w:p w:rsidR="006B6382" w:rsidRDefault="006B6382" w:rsidP="006B6382"/>
    <w:p w:rsidR="006B6382" w:rsidRDefault="006B6382" w:rsidP="006B6382"/>
    <w:p w:rsidR="006B6382" w:rsidRDefault="006B6382" w:rsidP="006B6382"/>
    <w:p w:rsidR="006B6382" w:rsidRDefault="006B6382" w:rsidP="006B6382"/>
    <w:p w:rsidR="006B6382" w:rsidRDefault="006B6382" w:rsidP="006B6382"/>
    <w:p w:rsidR="006B6382" w:rsidRDefault="006B6382" w:rsidP="006B6382"/>
    <w:tbl>
      <w:tblPr>
        <w:tblStyle w:val="Tabela-Siatka"/>
        <w:tblW w:w="0" w:type="auto"/>
        <w:tblLook w:val="04A0" w:firstRow="1" w:lastRow="0" w:firstColumn="1" w:lastColumn="0" w:noHBand="0" w:noVBand="1"/>
      </w:tblPr>
      <w:tblGrid>
        <w:gridCol w:w="575"/>
        <w:gridCol w:w="4949"/>
        <w:gridCol w:w="3538"/>
      </w:tblGrid>
      <w:tr w:rsidR="006B6382" w:rsidTr="006B6382">
        <w:tc>
          <w:tcPr>
            <w:tcW w:w="575" w:type="dxa"/>
            <w:shd w:val="clear" w:color="auto" w:fill="D9E2F3" w:themeFill="accent5" w:themeFillTint="33"/>
          </w:tcPr>
          <w:p w:rsidR="006B6382" w:rsidRPr="006B6382" w:rsidRDefault="006B6382" w:rsidP="006B6382">
            <w:pPr>
              <w:jc w:val="center"/>
              <w:rPr>
                <w:b/>
                <w:sz w:val="24"/>
              </w:rPr>
            </w:pPr>
            <w:r w:rsidRPr="006B6382">
              <w:rPr>
                <w:b/>
                <w:sz w:val="24"/>
              </w:rPr>
              <w:t>L.p.</w:t>
            </w:r>
          </w:p>
        </w:tc>
        <w:tc>
          <w:tcPr>
            <w:tcW w:w="4949" w:type="dxa"/>
            <w:shd w:val="clear" w:color="auto" w:fill="D9E2F3" w:themeFill="accent5" w:themeFillTint="33"/>
          </w:tcPr>
          <w:p w:rsidR="006B6382" w:rsidRPr="006B6382" w:rsidRDefault="006B6382" w:rsidP="006B6382">
            <w:pPr>
              <w:jc w:val="center"/>
              <w:rPr>
                <w:b/>
                <w:sz w:val="24"/>
              </w:rPr>
            </w:pPr>
            <w:r w:rsidRPr="006B6382">
              <w:rPr>
                <w:b/>
                <w:sz w:val="24"/>
              </w:rPr>
              <w:t>Imię i nazwisko uczestnika</w:t>
            </w:r>
          </w:p>
        </w:tc>
        <w:tc>
          <w:tcPr>
            <w:tcW w:w="3538" w:type="dxa"/>
            <w:shd w:val="clear" w:color="auto" w:fill="D9E2F3" w:themeFill="accent5" w:themeFillTint="33"/>
          </w:tcPr>
          <w:p w:rsidR="006B6382" w:rsidRPr="006B6382" w:rsidRDefault="006B6382" w:rsidP="006B6382">
            <w:pPr>
              <w:jc w:val="center"/>
              <w:rPr>
                <w:b/>
                <w:sz w:val="24"/>
              </w:rPr>
            </w:pPr>
            <w:r w:rsidRPr="006B6382">
              <w:rPr>
                <w:b/>
                <w:sz w:val="24"/>
              </w:rPr>
              <w:t>Czytelny podpis</w:t>
            </w:r>
          </w:p>
        </w:tc>
      </w:tr>
      <w:tr w:rsidR="006B6382" w:rsidTr="006B6382">
        <w:tc>
          <w:tcPr>
            <w:tcW w:w="575" w:type="dxa"/>
            <w:shd w:val="clear" w:color="auto" w:fill="D9E2F3" w:themeFill="accent5" w:themeFillTint="33"/>
          </w:tcPr>
          <w:p w:rsidR="006B6382" w:rsidRDefault="006B6382" w:rsidP="006B6382">
            <w:r>
              <w:t>1.</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2.</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3.</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4.</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5.</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6.</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7.</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8.</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9.</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10.</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11.</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12.</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13.</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14.</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15.</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16.</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17.</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18.</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19.</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20.</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21.</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22.</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23.</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24.</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25.</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26.</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27.</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28.</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29.</w:t>
            </w:r>
          </w:p>
        </w:tc>
        <w:tc>
          <w:tcPr>
            <w:tcW w:w="4949" w:type="dxa"/>
          </w:tcPr>
          <w:p w:rsidR="006B6382" w:rsidRDefault="006B6382" w:rsidP="006B6382"/>
        </w:tc>
        <w:tc>
          <w:tcPr>
            <w:tcW w:w="3538" w:type="dxa"/>
          </w:tcPr>
          <w:p w:rsidR="006B6382" w:rsidRDefault="006B6382" w:rsidP="006B6382"/>
        </w:tc>
      </w:tr>
      <w:tr w:rsidR="006B6382" w:rsidTr="006B6382">
        <w:tc>
          <w:tcPr>
            <w:tcW w:w="575" w:type="dxa"/>
            <w:shd w:val="clear" w:color="auto" w:fill="D9E2F3" w:themeFill="accent5" w:themeFillTint="33"/>
          </w:tcPr>
          <w:p w:rsidR="006B6382" w:rsidRDefault="006B6382" w:rsidP="006B6382">
            <w:r>
              <w:t>30.</w:t>
            </w:r>
          </w:p>
        </w:tc>
        <w:tc>
          <w:tcPr>
            <w:tcW w:w="4949" w:type="dxa"/>
          </w:tcPr>
          <w:p w:rsidR="006B6382" w:rsidRDefault="006B6382" w:rsidP="006B6382"/>
        </w:tc>
        <w:tc>
          <w:tcPr>
            <w:tcW w:w="3538" w:type="dxa"/>
          </w:tcPr>
          <w:p w:rsidR="006B6382" w:rsidRDefault="006B6382" w:rsidP="006B6382"/>
        </w:tc>
      </w:tr>
    </w:tbl>
    <w:p w:rsidR="006B6382" w:rsidRPr="00860402" w:rsidRDefault="006B6382" w:rsidP="006B6382"/>
    <w:sectPr w:rsidR="006B6382" w:rsidRPr="008604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A6A45"/>
    <w:multiLevelType w:val="hybridMultilevel"/>
    <w:tmpl w:val="B382F14C"/>
    <w:lvl w:ilvl="0" w:tplc="113ED4E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4D12B06"/>
    <w:multiLevelType w:val="hybridMultilevel"/>
    <w:tmpl w:val="8D22D6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64F3925"/>
    <w:multiLevelType w:val="hybridMultilevel"/>
    <w:tmpl w:val="0DCC9492"/>
    <w:lvl w:ilvl="0" w:tplc="04150001">
      <w:start w:val="1"/>
      <w:numFmt w:val="bullet"/>
      <w:lvlText w:val=""/>
      <w:lvlJc w:val="left"/>
      <w:pPr>
        <w:ind w:left="420" w:hanging="360"/>
      </w:pPr>
      <w:rPr>
        <w:rFonts w:ascii="Symbol" w:hAnsi="Symbol" w:hint="default"/>
      </w:rPr>
    </w:lvl>
    <w:lvl w:ilvl="1" w:tplc="04150003" w:tentative="1">
      <w:start w:val="1"/>
      <w:numFmt w:val="bullet"/>
      <w:lvlText w:val="o"/>
      <w:lvlJc w:val="left"/>
      <w:pPr>
        <w:ind w:left="1140" w:hanging="360"/>
      </w:pPr>
      <w:rPr>
        <w:rFonts w:ascii="Courier New" w:hAnsi="Courier New" w:cs="Courier New" w:hint="default"/>
      </w:rPr>
    </w:lvl>
    <w:lvl w:ilvl="2" w:tplc="04150005" w:tentative="1">
      <w:start w:val="1"/>
      <w:numFmt w:val="bullet"/>
      <w:lvlText w:val=""/>
      <w:lvlJc w:val="left"/>
      <w:pPr>
        <w:ind w:left="1860" w:hanging="360"/>
      </w:pPr>
      <w:rPr>
        <w:rFonts w:ascii="Wingdings" w:hAnsi="Wingdings" w:hint="default"/>
      </w:rPr>
    </w:lvl>
    <w:lvl w:ilvl="3" w:tplc="04150001" w:tentative="1">
      <w:start w:val="1"/>
      <w:numFmt w:val="bullet"/>
      <w:lvlText w:val=""/>
      <w:lvlJc w:val="left"/>
      <w:pPr>
        <w:ind w:left="2580" w:hanging="360"/>
      </w:pPr>
      <w:rPr>
        <w:rFonts w:ascii="Symbol" w:hAnsi="Symbol" w:hint="default"/>
      </w:rPr>
    </w:lvl>
    <w:lvl w:ilvl="4" w:tplc="04150003" w:tentative="1">
      <w:start w:val="1"/>
      <w:numFmt w:val="bullet"/>
      <w:lvlText w:val="o"/>
      <w:lvlJc w:val="left"/>
      <w:pPr>
        <w:ind w:left="3300" w:hanging="360"/>
      </w:pPr>
      <w:rPr>
        <w:rFonts w:ascii="Courier New" w:hAnsi="Courier New" w:cs="Courier New" w:hint="default"/>
      </w:rPr>
    </w:lvl>
    <w:lvl w:ilvl="5" w:tplc="04150005" w:tentative="1">
      <w:start w:val="1"/>
      <w:numFmt w:val="bullet"/>
      <w:lvlText w:val=""/>
      <w:lvlJc w:val="left"/>
      <w:pPr>
        <w:ind w:left="4020" w:hanging="360"/>
      </w:pPr>
      <w:rPr>
        <w:rFonts w:ascii="Wingdings" w:hAnsi="Wingdings" w:hint="default"/>
      </w:rPr>
    </w:lvl>
    <w:lvl w:ilvl="6" w:tplc="04150001" w:tentative="1">
      <w:start w:val="1"/>
      <w:numFmt w:val="bullet"/>
      <w:lvlText w:val=""/>
      <w:lvlJc w:val="left"/>
      <w:pPr>
        <w:ind w:left="4740" w:hanging="360"/>
      </w:pPr>
      <w:rPr>
        <w:rFonts w:ascii="Symbol" w:hAnsi="Symbol" w:hint="default"/>
      </w:rPr>
    </w:lvl>
    <w:lvl w:ilvl="7" w:tplc="04150003" w:tentative="1">
      <w:start w:val="1"/>
      <w:numFmt w:val="bullet"/>
      <w:lvlText w:val="o"/>
      <w:lvlJc w:val="left"/>
      <w:pPr>
        <w:ind w:left="5460" w:hanging="360"/>
      </w:pPr>
      <w:rPr>
        <w:rFonts w:ascii="Courier New" w:hAnsi="Courier New" w:cs="Courier New" w:hint="default"/>
      </w:rPr>
    </w:lvl>
    <w:lvl w:ilvl="8" w:tplc="04150005" w:tentative="1">
      <w:start w:val="1"/>
      <w:numFmt w:val="bullet"/>
      <w:lvlText w:val=""/>
      <w:lvlJc w:val="left"/>
      <w:pPr>
        <w:ind w:left="6180" w:hanging="360"/>
      </w:pPr>
      <w:rPr>
        <w:rFonts w:ascii="Wingdings" w:hAnsi="Wingdings" w:hint="default"/>
      </w:rPr>
    </w:lvl>
  </w:abstractNum>
  <w:abstractNum w:abstractNumId="3" w15:restartNumberingAfterBreak="0">
    <w:nsid w:val="6BCE0248"/>
    <w:multiLevelType w:val="hybridMultilevel"/>
    <w:tmpl w:val="1C26647C"/>
    <w:lvl w:ilvl="0" w:tplc="D13A1654">
      <w:start w:val="3"/>
      <w:numFmt w:val="bullet"/>
      <w:lvlText w:val=""/>
      <w:lvlJc w:val="left"/>
      <w:pPr>
        <w:ind w:left="420" w:hanging="360"/>
      </w:pPr>
      <w:rPr>
        <w:rFonts w:ascii="Symbol" w:eastAsiaTheme="minorHAnsi" w:hAnsi="Symbol" w:cs="Times New Roman" w:hint="default"/>
      </w:rPr>
    </w:lvl>
    <w:lvl w:ilvl="1" w:tplc="04150003" w:tentative="1">
      <w:start w:val="1"/>
      <w:numFmt w:val="bullet"/>
      <w:lvlText w:val="o"/>
      <w:lvlJc w:val="left"/>
      <w:pPr>
        <w:ind w:left="1140" w:hanging="360"/>
      </w:pPr>
      <w:rPr>
        <w:rFonts w:ascii="Courier New" w:hAnsi="Courier New" w:cs="Courier New" w:hint="default"/>
      </w:rPr>
    </w:lvl>
    <w:lvl w:ilvl="2" w:tplc="04150005" w:tentative="1">
      <w:start w:val="1"/>
      <w:numFmt w:val="bullet"/>
      <w:lvlText w:val=""/>
      <w:lvlJc w:val="left"/>
      <w:pPr>
        <w:ind w:left="1860" w:hanging="360"/>
      </w:pPr>
      <w:rPr>
        <w:rFonts w:ascii="Wingdings" w:hAnsi="Wingdings" w:hint="default"/>
      </w:rPr>
    </w:lvl>
    <w:lvl w:ilvl="3" w:tplc="04150001" w:tentative="1">
      <w:start w:val="1"/>
      <w:numFmt w:val="bullet"/>
      <w:lvlText w:val=""/>
      <w:lvlJc w:val="left"/>
      <w:pPr>
        <w:ind w:left="2580" w:hanging="360"/>
      </w:pPr>
      <w:rPr>
        <w:rFonts w:ascii="Symbol" w:hAnsi="Symbol" w:hint="default"/>
      </w:rPr>
    </w:lvl>
    <w:lvl w:ilvl="4" w:tplc="04150003" w:tentative="1">
      <w:start w:val="1"/>
      <w:numFmt w:val="bullet"/>
      <w:lvlText w:val="o"/>
      <w:lvlJc w:val="left"/>
      <w:pPr>
        <w:ind w:left="3300" w:hanging="360"/>
      </w:pPr>
      <w:rPr>
        <w:rFonts w:ascii="Courier New" w:hAnsi="Courier New" w:cs="Courier New" w:hint="default"/>
      </w:rPr>
    </w:lvl>
    <w:lvl w:ilvl="5" w:tplc="04150005" w:tentative="1">
      <w:start w:val="1"/>
      <w:numFmt w:val="bullet"/>
      <w:lvlText w:val=""/>
      <w:lvlJc w:val="left"/>
      <w:pPr>
        <w:ind w:left="4020" w:hanging="360"/>
      </w:pPr>
      <w:rPr>
        <w:rFonts w:ascii="Wingdings" w:hAnsi="Wingdings" w:hint="default"/>
      </w:rPr>
    </w:lvl>
    <w:lvl w:ilvl="6" w:tplc="04150001" w:tentative="1">
      <w:start w:val="1"/>
      <w:numFmt w:val="bullet"/>
      <w:lvlText w:val=""/>
      <w:lvlJc w:val="left"/>
      <w:pPr>
        <w:ind w:left="4740" w:hanging="360"/>
      </w:pPr>
      <w:rPr>
        <w:rFonts w:ascii="Symbol" w:hAnsi="Symbol" w:hint="default"/>
      </w:rPr>
    </w:lvl>
    <w:lvl w:ilvl="7" w:tplc="04150003" w:tentative="1">
      <w:start w:val="1"/>
      <w:numFmt w:val="bullet"/>
      <w:lvlText w:val="o"/>
      <w:lvlJc w:val="left"/>
      <w:pPr>
        <w:ind w:left="5460" w:hanging="360"/>
      </w:pPr>
      <w:rPr>
        <w:rFonts w:ascii="Courier New" w:hAnsi="Courier New" w:cs="Courier New" w:hint="default"/>
      </w:rPr>
    </w:lvl>
    <w:lvl w:ilvl="8" w:tplc="04150005" w:tentative="1">
      <w:start w:val="1"/>
      <w:numFmt w:val="bullet"/>
      <w:lvlText w:val=""/>
      <w:lvlJc w:val="left"/>
      <w:pPr>
        <w:ind w:left="61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1FB"/>
    <w:rsid w:val="003574CF"/>
    <w:rsid w:val="006B6382"/>
    <w:rsid w:val="00860402"/>
    <w:rsid w:val="00BB4340"/>
    <w:rsid w:val="00DA6D09"/>
    <w:rsid w:val="00E941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7E3B9"/>
  <w15:chartTrackingRefBased/>
  <w15:docId w15:val="{DE2C8EF1-1BC0-40E7-8FC6-CCBAFC242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941FB"/>
    <w:rPr>
      <w:color w:val="0563C1" w:themeColor="hyperlink"/>
      <w:u w:val="single"/>
    </w:rPr>
  </w:style>
  <w:style w:type="paragraph" w:styleId="Akapitzlist">
    <w:name w:val="List Paragraph"/>
    <w:basedOn w:val="Normalny"/>
    <w:uiPriority w:val="34"/>
    <w:qFormat/>
    <w:rsid w:val="00E941FB"/>
    <w:pPr>
      <w:ind w:left="720"/>
      <w:contextualSpacing/>
    </w:pPr>
  </w:style>
  <w:style w:type="table" w:styleId="Tabela-Siatka">
    <w:name w:val="Table Grid"/>
    <w:basedOn w:val="Standardowy"/>
    <w:uiPriority w:val="39"/>
    <w:rsid w:val="008604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dmin@perlajury.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651</Words>
  <Characters>3912</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2024-11-12T10:32:00Z</dcterms:created>
  <dcterms:modified xsi:type="dcterms:W3CDTF">2024-11-12T12:44:00Z</dcterms:modified>
</cp:coreProperties>
</file>